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802566" w:rsidP="0019615E">
            <w:pPr>
              <w:tabs>
                <w:tab w:val="left" w:pos="5070"/>
                <w:tab w:val="left" w:pos="5366"/>
                <w:tab w:val="left" w:pos="6771"/>
                <w:tab w:val="left" w:pos="7363"/>
              </w:tabs>
              <w:jc w:val="both"/>
            </w:pPr>
            <w:r>
              <w:t>PATVIRTINTA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Default="00832CC9" w:rsidP="00865C91">
      <w:bookmarkStart w:id="2" w:name="_GoBack"/>
      <w:bookmarkEnd w:id="2"/>
    </w:p>
    <w:p w:rsidR="00865C91" w:rsidRPr="00F72A1E" w:rsidRDefault="00865C91" w:rsidP="00865C91"/>
    <w:p w:rsidR="00FC4450" w:rsidRPr="00FC4450" w:rsidRDefault="00FC4450" w:rsidP="00FC4450">
      <w:pPr>
        <w:jc w:val="center"/>
        <w:rPr>
          <w:b/>
          <w:color w:val="000000"/>
          <w:lang w:eastAsia="lt-LT"/>
        </w:rPr>
      </w:pPr>
      <w:r w:rsidRPr="00FC4450">
        <w:rPr>
          <w:b/>
          <w:color w:val="000000"/>
          <w:lang w:eastAsia="lt-LT"/>
        </w:rPr>
        <w:t>KLAIPĖD</w:t>
      </w:r>
      <w:r w:rsidR="007A24A6">
        <w:rPr>
          <w:b/>
          <w:color w:val="000000"/>
          <w:lang w:eastAsia="lt-LT"/>
        </w:rPr>
        <w:t>OS</w:t>
      </w:r>
      <w:r w:rsidR="00E027B1">
        <w:rPr>
          <w:b/>
          <w:color w:val="000000"/>
          <w:lang w:eastAsia="lt-LT"/>
        </w:rPr>
        <w:t xml:space="preserve"> LOPŠELIO-DARŽELIO „LINELIS</w:t>
      </w:r>
      <w:r w:rsidRPr="00FC4450">
        <w:rPr>
          <w:b/>
          <w:color w:val="000000"/>
          <w:lang w:eastAsia="lt-LT"/>
        </w:rPr>
        <w:t>“</w:t>
      </w:r>
    </w:p>
    <w:p w:rsidR="00FC4450" w:rsidRPr="00FC4450" w:rsidRDefault="00FC4450" w:rsidP="00FC4450">
      <w:pPr>
        <w:jc w:val="center"/>
        <w:rPr>
          <w:color w:val="000000"/>
          <w:lang w:eastAsia="lt-LT"/>
        </w:rPr>
      </w:pPr>
      <w:r w:rsidRPr="00FC4450">
        <w:rPr>
          <w:b/>
          <w:bCs/>
          <w:color w:val="000000"/>
          <w:lang w:eastAsia="lt-LT"/>
        </w:rPr>
        <w:t>2022 METŲ VEIKLOS ATASKAITA</w:t>
      </w:r>
    </w:p>
    <w:p w:rsidR="00832CC9" w:rsidRPr="00FC4450" w:rsidRDefault="00FC4450" w:rsidP="00FC4450">
      <w:pPr>
        <w:jc w:val="center"/>
        <w:rPr>
          <w:color w:val="000000"/>
          <w:lang w:eastAsia="lt-LT"/>
        </w:rPr>
      </w:pPr>
      <w:r w:rsidRPr="00FC4450">
        <w:rPr>
          <w:color w:val="000000"/>
          <w:lang w:eastAsia="lt-LT"/>
        </w:rPr>
        <w:t> </w:t>
      </w:r>
    </w:p>
    <w:p w:rsidR="00E027B1" w:rsidRDefault="00E027B1" w:rsidP="00E027B1">
      <w:pPr>
        <w:spacing w:line="254" w:lineRule="auto"/>
        <w:ind w:firstLine="567"/>
        <w:jc w:val="both"/>
      </w:pPr>
      <w:r>
        <w:t>Klaipėdos lopšelis-darželis „Linelis“ (toliau – Įstaiga) įgyvendina ikimokyklinio, priešmokyklinio ir neformaliojo ugdymo programas. Jų įgyvendinimą 2022 m. užtikrino 28 pedagoginiai darbuotojai ir 24 aptarnaujančio personalo darbuotojai</w:t>
      </w:r>
      <w:r w:rsidR="00651DD9">
        <w:t xml:space="preserve">. </w:t>
      </w:r>
      <w:r>
        <w:rPr>
          <w:lang w:eastAsia="lt-LT"/>
        </w:rPr>
        <w:t>2022 m. rugsėjo 1 d. duomenimis</w:t>
      </w:r>
      <w:r w:rsidR="00651DD9">
        <w:rPr>
          <w:lang w:eastAsia="lt-LT"/>
        </w:rPr>
        <w:t>,</w:t>
      </w:r>
      <w:r>
        <w:rPr>
          <w:lang w:eastAsia="lt-LT"/>
        </w:rPr>
        <w:t xml:space="preserve"> Įstai</w:t>
      </w:r>
      <w:r w:rsidRPr="00203BCC">
        <w:rPr>
          <w:lang w:eastAsia="lt-LT"/>
        </w:rPr>
        <w:t>goje buvo ugdomi 188 ugdytiniai, suformuota 11 grupių, iš jų – 4 priešmokyklinės (68 vaikai), 4 ikimokyklinio (83 vaikų) ir 3 ankstyvojo ikimokyklinio (37 vaikai). </w:t>
      </w:r>
      <w:r w:rsidRPr="00203BCC">
        <w:t>Ikimokyklinis</w:t>
      </w:r>
      <w:r>
        <w:t xml:space="preserve"> ir priešmokyklinis ugdymas vykdytas dviem kalbomis (8 grupėse – lietuvių </w:t>
      </w:r>
      <w:r w:rsidR="00651DD9">
        <w:t xml:space="preserve">ugdomąja </w:t>
      </w:r>
      <w:r>
        <w:t xml:space="preserve">kalba, 3 grupėse – rusų </w:t>
      </w:r>
      <w:r w:rsidR="00651DD9">
        <w:t xml:space="preserve">ugdomąja </w:t>
      </w:r>
      <w:r>
        <w:t>kalba). Rusų ugdomąją kalba ugdomų grupių užpildomumas – 100 proc. (2021 m.</w:t>
      </w:r>
      <w:r>
        <w:rPr>
          <w:lang w:eastAsia="lt-LT"/>
        </w:rPr>
        <w:t xml:space="preserve"> – </w:t>
      </w:r>
      <w:r>
        <w:t xml:space="preserve">90 proc.), lietuvių – 93,22 proc. (2021 m. </w:t>
      </w:r>
      <w:r>
        <w:rPr>
          <w:lang w:eastAsia="lt-LT"/>
        </w:rPr>
        <w:t>–</w:t>
      </w:r>
      <w:r>
        <w:t xml:space="preserve"> 94,28 proc.).</w:t>
      </w:r>
    </w:p>
    <w:p w:rsidR="00E027B1" w:rsidRDefault="00E027B1" w:rsidP="00E027B1">
      <w:pPr>
        <w:spacing w:line="254" w:lineRule="auto"/>
        <w:ind w:firstLine="567"/>
        <w:jc w:val="both"/>
      </w:pPr>
      <w:r>
        <w:t>Įstaigos 2022–2024 metų strate</w:t>
      </w:r>
      <w:r w:rsidRPr="00203BCC">
        <w:t xml:space="preserve">ginio (toliau – Strateginis planas) ir 2022 metų </w:t>
      </w:r>
      <w:r w:rsidRPr="00203BCC">
        <w:rPr>
          <w:rStyle w:val="Numatytasispastraiposriftas1"/>
        </w:rPr>
        <w:t xml:space="preserve">veiklos planuose </w:t>
      </w:r>
      <w:r w:rsidRPr="00203BCC">
        <w:t xml:space="preserve">(toliau – Veiklos planas) </w:t>
      </w:r>
      <w:r w:rsidRPr="00203BCC">
        <w:rPr>
          <w:rStyle w:val="Numatytasispastraiposriftas1"/>
        </w:rPr>
        <w:t>numatyti</w:t>
      </w:r>
      <w:r>
        <w:rPr>
          <w:rStyle w:val="Numatytasispastraiposriftas1"/>
        </w:rPr>
        <w:t xml:space="preserve"> tikslai ir uždaviniai buvo orientuoti į inovatyvių ir kokybiškų ugdymo(si) paslaugų užtikrinimą</w:t>
      </w:r>
      <w:r w:rsidR="00651DD9">
        <w:rPr>
          <w:rStyle w:val="Numatytasispastraiposriftas1"/>
        </w:rPr>
        <w:t>,</w:t>
      </w:r>
      <w:r>
        <w:rPr>
          <w:rStyle w:val="Numatytasispastraiposriftas1"/>
        </w:rPr>
        <w:t xml:space="preserve"> integruojant naujus, į vaiką orientuotus ugdymo(si) metodus, užtikrinant visų </w:t>
      </w:r>
      <w:r w:rsidRPr="00203BCC">
        <w:rPr>
          <w:rStyle w:val="Numatytasispastraiposriftas1"/>
        </w:rPr>
        <w:t>Įstaigos</w:t>
      </w:r>
      <w:r>
        <w:rPr>
          <w:rStyle w:val="Numatytasispastraiposriftas1"/>
        </w:rPr>
        <w:t xml:space="preserve"> sričių funkcionalumą ir dermę, saugias ir modernias ugdymo(si) sąlygas. 2022 metų veiklos prioritetinės kryptys: 1) i</w:t>
      </w:r>
      <w:r>
        <w:t>novatyvių ir kokybiškų ugdymo(si) paslaugų užtikrinimas, integruojant informacines komunikacines technologijas į ugdymo(si) procesą bei tobulinant pedagogų profesinį skaitmeninį raštingumą; 2) Įstaigos savivaldos, bendruomeniškumo, socialinės partnerystės nuostatų stiprinimas; 3) sveikos, saugios, šiuolaikinius reikalavimus atitinkančios aplinkos kūrimas. Strateginiam tikslui įgyvendinti Strateginiame ir Veiklos planuose buvo iškelti konkretūs veiklos tikslai ir uždaviniai, numatytos priemonės rezultatui pasiekti.</w:t>
      </w:r>
    </w:p>
    <w:p w:rsidR="00E027B1" w:rsidRDefault="00E027B1" w:rsidP="00E027B1">
      <w:pPr>
        <w:spacing w:line="254" w:lineRule="auto"/>
        <w:ind w:firstLine="567"/>
        <w:jc w:val="both"/>
        <w:rPr>
          <w:bCs/>
        </w:rPr>
      </w:pPr>
      <w:r>
        <w:rPr>
          <w:bCs/>
        </w:rPr>
        <w:t xml:space="preserve">Siekiant įgyvendinti Strateginio </w:t>
      </w:r>
      <w:r w:rsidRPr="00AA2075">
        <w:rPr>
          <w:bCs/>
        </w:rPr>
        <w:t>plano pirmąjį tikslą – kokybiško ir inovatyvaus ugdymo(si) užtikrinimą</w:t>
      </w:r>
      <w:r>
        <w:rPr>
          <w:bCs/>
        </w:rPr>
        <w:t xml:space="preserve"> – buvo siekiama tikslingai organizuoti darbuotojų veiklą ir telkti bendruomenę nuolatiniam mokymuisi, tobulėjimui bei lyderystei. Strateginio plano pirmajam tikslui pasiekti buvo įgyvendinami trys uždaviniai: </w:t>
      </w:r>
    </w:p>
    <w:p w:rsidR="00E027B1" w:rsidRPr="00651DD9" w:rsidRDefault="00E027B1" w:rsidP="00651DD9">
      <w:pPr>
        <w:pStyle w:val="Sraopastraipa"/>
        <w:numPr>
          <w:ilvl w:val="0"/>
          <w:numId w:val="1"/>
        </w:numPr>
        <w:spacing w:line="254" w:lineRule="auto"/>
        <w:ind w:left="0" w:firstLine="567"/>
        <w:jc w:val="both"/>
        <w:rPr>
          <w:bCs/>
        </w:rPr>
      </w:pPr>
      <w:r>
        <w:rPr>
          <w:bCs/>
        </w:rPr>
        <w:t>įgyvendinant pirmąjį uždavinį – kokybiško ugdymo(si) vaikams užtikrinimas – buvo</w:t>
      </w:r>
      <w:r w:rsidR="00651DD9">
        <w:rPr>
          <w:bCs/>
        </w:rPr>
        <w:t xml:space="preserve"> </w:t>
      </w:r>
      <w:r w:rsidRPr="00651DD9">
        <w:rPr>
          <w:bCs/>
        </w:rPr>
        <w:t xml:space="preserve">įgyvendintos priemonės, susijusios su ugdymo proceso organizavimu, vaikų ugdymosi motyvacijos, sveikatos ir fizinio aktyvumo stiprinimu, tautinės, kultūrinės, pilietinės bei socialinės savimonės formavimu. Ugdymo proceso planavimas ir ugdytinių pasiekimų ir pažangos vertinimas buvo vykdomas elektroniniame dienyne, ugdytinių pasiekimai vertinami du kartus per metus. Mokinių pasiekimų ir pažangos vertinimo analizė buvo atliekama </w:t>
      </w:r>
      <w:r w:rsidR="00651DD9">
        <w:rPr>
          <w:bCs/>
        </w:rPr>
        <w:t>M</w:t>
      </w:r>
      <w:r w:rsidRPr="00651DD9">
        <w:rPr>
          <w:bCs/>
        </w:rPr>
        <w:t xml:space="preserve">okytojų metodinėje taryboje, kuri pateikė rekomendacijas mokytojams ilgalaikių ir trumpalaikių ugdomųjų planų koregavimui pagal atliktų vertinimų rezultatus. </w:t>
      </w:r>
      <w:r>
        <w:t xml:space="preserve">Į ikimokyklinio ugdymo programą </w:t>
      </w:r>
      <w:r w:rsidRPr="00203BCC">
        <w:t>ir priešmokyklinio ugdymo bendrąją programą buvo integruotos 3 neformaliojo vaikų švietimo programos: dailės ugdymo, fizinio aktyvumo</w:t>
      </w:r>
      <w:r>
        <w:t xml:space="preserve"> ir</w:t>
      </w:r>
      <w:r w:rsidRPr="00203BCC">
        <w:t xml:space="preserve"> sveikos gyvensenos ugdymo. Priešmokyklinėse grupėse įgyvendinta socialinių ir emocinių įgūdžių ugdymo programa „Zipio draugai“. Įstaiga dalyvavo Vaisių vartojimo skatinimo vaikų ugdymo Įstaigose programoje bei Pieno produktų vartojimo paramos programoje „Pienas vaikams“.</w:t>
      </w:r>
      <w:r>
        <w:t xml:space="preserve"> </w:t>
      </w:r>
    </w:p>
    <w:p w:rsidR="00E027B1" w:rsidRDefault="00E027B1" w:rsidP="00E027B1">
      <w:pPr>
        <w:spacing w:line="254" w:lineRule="auto"/>
        <w:ind w:firstLine="567"/>
        <w:jc w:val="both"/>
        <w:rPr>
          <w:bCs/>
        </w:rPr>
      </w:pPr>
      <w:r>
        <w:t xml:space="preserve">Siekiant padidinti vaikų, turinčių specialiųjų ugdymo(si) poreikių įtrauktį, organizuota 10 </w:t>
      </w:r>
      <w:r w:rsidR="00EB671F">
        <w:t>V</w:t>
      </w:r>
      <w:r>
        <w:t xml:space="preserve">aiko gerovės komisijos (toliau – VGK) posėdžių, </w:t>
      </w:r>
      <w:r w:rsidRPr="00CE4EE7">
        <w:t>vaiko teisių apsaugą ir gerovę užtikrinančioms institucijoms parengta 12 ugdytinių charakteristikų. Mo</w:t>
      </w:r>
      <w:r>
        <w:t>kytojo padėjėjo (1,5 etato) pagalba buvo teikta 2 vaikams</w:t>
      </w:r>
      <w:r w:rsidR="00EB671F">
        <w:t xml:space="preserve">, </w:t>
      </w:r>
      <w:r>
        <w:t xml:space="preserve">parengtos ir VGK aptartos ir suderintos 5 individualiai pritaikytos programos ikimokyklinio ir priešmokyklinio amžiaus vaikams. Organizuoti posėdžiai su ugdytinių tėvais, pristatant ir aptariant programas. 57 vaikams buvo teikta logopedo pagalba. </w:t>
      </w:r>
    </w:p>
    <w:p w:rsidR="00E027B1" w:rsidRDefault="00E027B1" w:rsidP="00E027B1">
      <w:pPr>
        <w:spacing w:line="254" w:lineRule="auto"/>
        <w:ind w:firstLine="567"/>
        <w:jc w:val="both"/>
        <w:rPr>
          <w:bCs/>
        </w:rPr>
      </w:pPr>
      <w:r>
        <w:rPr>
          <w:bCs/>
        </w:rPr>
        <w:lastRenderedPageBreak/>
        <w:t>2022 m. aktyviai dalyvauta sveikatą stiprinančių mokyklų tinklo „Sveika mokykla“ veikloje, dalintasi gerąja patirtimi</w:t>
      </w:r>
      <w:r w:rsidR="00EB671F">
        <w:rPr>
          <w:bCs/>
        </w:rPr>
        <w:t>,</w:t>
      </w:r>
      <w:r>
        <w:rPr>
          <w:bCs/>
        </w:rPr>
        <w:t xml:space="preserve"> įgyvendinant sveikatos stiprinimo programą 2022</w:t>
      </w:r>
      <w:r>
        <w:t>–</w:t>
      </w:r>
      <w:r>
        <w:rPr>
          <w:bCs/>
        </w:rPr>
        <w:t>2026 metams. Organizuoti 88</w:t>
      </w:r>
      <w:r>
        <w:rPr>
          <w:bCs/>
          <w:color w:val="FF0000"/>
        </w:rPr>
        <w:t xml:space="preserve"> </w:t>
      </w:r>
      <w:r>
        <w:rPr>
          <w:bCs/>
        </w:rPr>
        <w:t>su sveikata susiję renginiai (27 visuomenės sveikatos priežiūros specialisto, 61 koordinuojamas neformaliojo ugdymo (kūno k.) mokytojo), 3 atviros veiklos tėvams sveikatingumo tema, vykdyta tėvų apklausa apie programos įgyvendinimą Įstaigoje bei jos rezultatai pateikti bendruomenei</w:t>
      </w:r>
      <w:r w:rsidR="00EB671F">
        <w:rPr>
          <w:bCs/>
        </w:rPr>
        <w:t>;</w:t>
      </w:r>
      <w:r>
        <w:rPr>
          <w:bCs/>
        </w:rPr>
        <w:t xml:space="preserve"> </w:t>
      </w:r>
    </w:p>
    <w:p w:rsidR="00E027B1" w:rsidRDefault="00E027B1" w:rsidP="00E027B1">
      <w:pPr>
        <w:pStyle w:val="Sraopastraipa"/>
        <w:numPr>
          <w:ilvl w:val="0"/>
          <w:numId w:val="1"/>
        </w:numPr>
        <w:spacing w:line="254" w:lineRule="auto"/>
        <w:jc w:val="both"/>
        <w:rPr>
          <w:bCs/>
        </w:rPr>
      </w:pPr>
      <w:r>
        <w:rPr>
          <w:bCs/>
        </w:rPr>
        <w:t>įgyvendinant antrąjį uždavinį – skatinti bendravimą ir bendradarbiavimą tarp socialinių</w:t>
      </w:r>
    </w:p>
    <w:p w:rsidR="00E027B1" w:rsidRPr="00203BCC" w:rsidRDefault="00E027B1" w:rsidP="00E027B1">
      <w:pPr>
        <w:spacing w:line="254" w:lineRule="auto"/>
        <w:jc w:val="both"/>
        <w:rPr>
          <w:bCs/>
        </w:rPr>
      </w:pPr>
      <w:r>
        <w:rPr>
          <w:bCs/>
        </w:rPr>
        <w:t xml:space="preserve">partnerių ir bendruomenės narių, tobulinant mokytojų metodinę veiklą, kvalifikaciją – vykdyta darbo patirties sklaida su respublikos ir miesto pedagogais, renginiai, kvalifikacijos tobulinimas. </w:t>
      </w:r>
      <w:r>
        <w:t>Įstaigos pedagogai kvalifikaciją tobulino 2426 val., vidutiniškai 11-12 dienų per metus</w:t>
      </w:r>
      <w:r w:rsidR="00EB671F">
        <w:t xml:space="preserve">. </w:t>
      </w:r>
      <w:r>
        <w:t xml:space="preserve">Įstaigoje įgyvendinti bendri kvalifikacijos tobulinimo renginiai šiomis temomis: patyriminis ugdymas, </w:t>
      </w:r>
      <w:r w:rsidRPr="00EB671F">
        <w:rPr>
          <w:iCs/>
        </w:rPr>
        <w:t>STEAM</w:t>
      </w:r>
      <w:r>
        <w:t xml:space="preserve"> metodų taikymo galimybės </w:t>
      </w:r>
      <w:r w:rsidRPr="00203BCC">
        <w:t xml:space="preserve">ikimokyklinėse </w:t>
      </w:r>
      <w:r w:rsidR="00EB671F">
        <w:t>į</w:t>
      </w:r>
      <w:r w:rsidRPr="00203BCC">
        <w:t>staigose (72 ak. val.), bendradarbiavimas su šeima</w:t>
      </w:r>
      <w:r w:rsidR="00EB671F">
        <w:t>,</w:t>
      </w:r>
      <w:r w:rsidRPr="00203BCC">
        <w:t xml:space="preserve"> ugdant specialiųjų ugdymosi poreikių turinčius vaikus (18 ak. val.), p</w:t>
      </w:r>
      <w:r w:rsidRPr="00203BCC">
        <w:rPr>
          <w:bCs/>
        </w:rPr>
        <w:t xml:space="preserve">agalbos vaikui, šeimai ir ugdymo Įstaigai teikimo modelis </w:t>
      </w:r>
      <w:r w:rsidRPr="00203BCC">
        <w:t xml:space="preserve">(6 ak. val.). 100 proc. (26) mokytojų vykdė ir pateikė savo veiklos savianalizę. </w:t>
      </w:r>
    </w:p>
    <w:p w:rsidR="00E027B1" w:rsidRDefault="00E027B1" w:rsidP="00E027B1">
      <w:pPr>
        <w:spacing w:line="254" w:lineRule="auto"/>
        <w:ind w:firstLine="567"/>
        <w:jc w:val="both"/>
      </w:pPr>
      <w:r w:rsidRPr="00203BCC">
        <w:t xml:space="preserve">Įstaigoje aktyviai vykdyta </w:t>
      </w:r>
      <w:r w:rsidRPr="00203BCC">
        <w:rPr>
          <w:color w:val="000000"/>
        </w:rPr>
        <w:t>metodinė veikla</w:t>
      </w:r>
      <w:r w:rsidRPr="00203BCC">
        <w:t>: parengtos ir mokytojų metodinėje taryboje pristatytos 5 metodinės priemonės</w:t>
      </w:r>
      <w:r w:rsidR="00EB671F">
        <w:t xml:space="preserve">, </w:t>
      </w:r>
      <w:r w:rsidRPr="00203BCC">
        <w:t>kurios sėkmingai taikomos</w:t>
      </w:r>
      <w:r w:rsidR="00EB671F">
        <w:t>.</w:t>
      </w:r>
      <w:r>
        <w:t>. Įstaigoje pristatyta 12 pranešimų-straipsnių įvairiomis temomis</w:t>
      </w:r>
      <w:r w:rsidR="00EB671F">
        <w:t xml:space="preserve">, </w:t>
      </w:r>
      <w:r>
        <w:t>vesta 13 atvirų veiklų</w:t>
      </w:r>
      <w:r w:rsidR="00EB671F">
        <w:t xml:space="preserve">. </w:t>
      </w:r>
      <w:r>
        <w:t>Respublikinėse konferencijose, metodinėse dienose skaityti 8 pranešimai</w:t>
      </w:r>
      <w:r w:rsidR="00EB671F">
        <w:t xml:space="preserve">. </w:t>
      </w:r>
      <w:r>
        <w:t xml:space="preserve">Praktiką atliko 7 studentai, kuriems vadovavo Įstaigos pedagogai. </w:t>
      </w:r>
      <w:r w:rsidR="00EB671F">
        <w:t>O</w:t>
      </w:r>
      <w:r>
        <w:rPr>
          <w:lang w:eastAsia="lt-LT"/>
        </w:rPr>
        <w:t xml:space="preserve">rganizuotas metodinis neformaliojo ugdymo (kūno k.) mokytojų susirinkimas, </w:t>
      </w:r>
      <w:r>
        <w:t xml:space="preserve">kurio metu vyko vadovų ir neformaliojo ugdymo mokytojų organizuotos įvairios terapinės veiklos bei dalijimasis patirtimi. </w:t>
      </w:r>
      <w:r w:rsidR="00EB671F">
        <w:t>V</w:t>
      </w:r>
      <w:r>
        <w:t xml:space="preserve">yko nuolatinis bendradarbiavimas su socialiniais partneriais, įgyvendinta 17 veiklų, renginių, akcijų. </w:t>
      </w:r>
    </w:p>
    <w:p w:rsidR="00D14075" w:rsidRDefault="00E027B1" w:rsidP="00D14075">
      <w:pPr>
        <w:spacing w:line="254" w:lineRule="auto"/>
        <w:ind w:firstLine="567"/>
        <w:jc w:val="both"/>
      </w:pPr>
      <w:r>
        <w:t xml:space="preserve">Aktyvinant gerosios patirties sklaidą už Įstaigos ribų, 26 (100 proc.) pedagogų dalyvavo miesto, šalies organizuojamuose projektuose, renginiuose, akcijose (13 </w:t>
      </w:r>
      <w:r w:rsidR="00D14075">
        <w:t xml:space="preserve">dalyvavo </w:t>
      </w:r>
      <w:r>
        <w:rPr>
          <w:i/>
          <w:iCs/>
        </w:rPr>
        <w:t>eTwinning</w:t>
      </w:r>
      <w:r>
        <w:t xml:space="preserve"> programoje). Projektinės veiklos darbo grupės planas įgyvendintas ir viršijo numatytas veiklas</w:t>
      </w:r>
      <w:r w:rsidR="00D14075">
        <w:t>:</w:t>
      </w:r>
      <w:r>
        <w:t xml:space="preserve"> Įstaigoje suorganizuota ir įgyvendinta 13 projektų, iš jų 9 Įstaigos, 3 miesto,</w:t>
      </w:r>
      <w:r w:rsidR="00D14075">
        <w:t xml:space="preserve"> 1</w:t>
      </w:r>
      <w:r>
        <w:t xml:space="preserve"> šalies</w:t>
      </w:r>
      <w:r w:rsidR="00D14075">
        <w:t>;</w:t>
      </w:r>
    </w:p>
    <w:p w:rsidR="00E027B1" w:rsidRDefault="00D14075" w:rsidP="00D14075">
      <w:pPr>
        <w:spacing w:line="254" w:lineRule="auto"/>
        <w:ind w:firstLine="567"/>
        <w:jc w:val="both"/>
      </w:pPr>
      <w:r>
        <w:t xml:space="preserve">– </w:t>
      </w:r>
      <w:r w:rsidR="00E027B1">
        <w:t>įgyvendinant trečiąjį uždavinį – patyriminio ugdymo diegimas Įstaigoje, pritaikant</w:t>
      </w:r>
      <w:r>
        <w:t xml:space="preserve"> </w:t>
      </w:r>
      <w:r w:rsidR="00E027B1">
        <w:t xml:space="preserve">edukacines erdves ir gilinant mokytojų žinias – buvo aktyviai naudojami patyriminio ugdymo principai ikimokyklinio ir priešmokyklinio ugdymo grupėse. Suburta patyriminio ugdymo darbo grupė, parengtas ir patvirtintas patyriminio ugdymo veiklos planas. Buvo atlikta mokytojų apklausa apie metodų naudojimą, dažnumą bei darbo grupės pateikiamų metodinių priemonių panaudojimą ugdymo procese. 100 proc. mokytojų taiko patyriminio ugdymo metodus ugdymo procese visų amžių grupėse (ankstyvojo ir ikimokyklinio </w:t>
      </w:r>
      <w:r w:rsidR="00E027B1" w:rsidRPr="00203BCC">
        <w:t>amžiaus grupėse vidutiniškai 2–3 k</w:t>
      </w:r>
      <w:r>
        <w:t xml:space="preserve">artus per </w:t>
      </w:r>
      <w:r w:rsidR="00E027B1" w:rsidRPr="00203BCC">
        <w:t>sav</w:t>
      </w:r>
      <w:r>
        <w:t>aitę</w:t>
      </w:r>
      <w:r w:rsidR="00E027B1" w:rsidRPr="00203BCC">
        <w:t>, priešmokyklinio amžiaus grupėse vidutiniškai – 3–4</w:t>
      </w:r>
      <w:r w:rsidRPr="00D14075">
        <w:t xml:space="preserve"> </w:t>
      </w:r>
      <w:r w:rsidRPr="00203BCC">
        <w:t>k</w:t>
      </w:r>
      <w:r>
        <w:t xml:space="preserve">artus per </w:t>
      </w:r>
      <w:r w:rsidRPr="00203BCC">
        <w:t>sav</w:t>
      </w:r>
      <w:r>
        <w:t>aitę</w:t>
      </w:r>
      <w:r w:rsidR="00E027B1" w:rsidRPr="00203BCC">
        <w:t>).</w:t>
      </w:r>
    </w:p>
    <w:p w:rsidR="00E027B1" w:rsidRDefault="00E027B1" w:rsidP="00E027B1">
      <w:pPr>
        <w:spacing w:line="254" w:lineRule="auto"/>
        <w:ind w:firstLine="567"/>
        <w:jc w:val="both"/>
      </w:pPr>
      <w:r>
        <w:t>Įstaigoje sukurtos naujos erdvės: patyriminio ugdymo(si) – funkcionali, lengvai pritaikoma įvairioms veikloms erdvė, kuriai įsigytos įvairios priemonės (</w:t>
      </w:r>
      <w:r w:rsidRPr="00D14075">
        <w:rPr>
          <w:iCs/>
        </w:rPr>
        <w:t>STEAM</w:t>
      </w:r>
      <w:r w:rsidRPr="00D14075">
        <w:t xml:space="preserve"> </w:t>
      </w:r>
      <w:r>
        <w:t>lentos, stalai, mikroskopai, interaktyvios grindys, įvairios kitos ugdomosios ir daugiafunkcinės priemonės) bei lauko erdvė</w:t>
      </w:r>
      <w:r w:rsidR="008C35F5">
        <w:t xml:space="preserve"> </w:t>
      </w:r>
      <w:r w:rsidR="00D14075">
        <w:t>–</w:t>
      </w:r>
      <w:r>
        <w:t xml:space="preserve"> sodas, kuriame pasodinti įvairūs vaismedžiai ir įrengtos lysvės augalų auginimui. </w:t>
      </w:r>
    </w:p>
    <w:p w:rsidR="00E027B1" w:rsidRDefault="00E027B1" w:rsidP="00E027B1">
      <w:pPr>
        <w:spacing w:line="254" w:lineRule="auto"/>
        <w:ind w:firstLine="567"/>
        <w:jc w:val="both"/>
        <w:rPr>
          <w:bCs/>
        </w:rPr>
      </w:pPr>
      <w:r>
        <w:rPr>
          <w:bCs/>
        </w:rPr>
        <w:t>Siekiant įgyvendinti Strateginio plano antrąjį tikslą – modernios, saugios bei estetiškos ugdymo(si) ir darbo aplinkos kūrimas – Įstaigos veikla buvo orientuota į edukacinių aplinkų kūrimą, atnaujinimą bei šiuolaikinių priemonių įsigijimą. Strateginio plano antrajam tikslui pasiekti buvo įgyvendinamas vienas uždavinys:</w:t>
      </w:r>
    </w:p>
    <w:p w:rsidR="00E027B1" w:rsidRPr="008C35F5" w:rsidRDefault="00E027B1" w:rsidP="008C35F5">
      <w:pPr>
        <w:pStyle w:val="Sraopastraipa"/>
        <w:numPr>
          <w:ilvl w:val="0"/>
          <w:numId w:val="1"/>
        </w:numPr>
        <w:spacing w:line="254" w:lineRule="auto"/>
        <w:ind w:left="0" w:firstLine="709"/>
        <w:jc w:val="both"/>
      </w:pPr>
      <w:r>
        <w:rPr>
          <w:bCs/>
        </w:rPr>
        <w:t>Įstaigos materialinės bazės ir edukacinių aplinkų gerinimas – a</w:t>
      </w:r>
      <w:r>
        <w:rPr>
          <w:rStyle w:val="Numatytasispastraiposriftas1"/>
        </w:rPr>
        <w:t>tnaujintos vidaus ir lauko erdvės. Perdažyti ir atnaujinti lauko žaidimų įrengimai (211,92 Eur) bei atnaujintas smėlis visose smėlio dėžėse (218,28 Eur). A</w:t>
      </w:r>
      <w:r>
        <w:rPr>
          <w:lang w:eastAsia="lt-LT"/>
        </w:rPr>
        <w:t>tliktas pagrindinės laiptinės remontas (21</w:t>
      </w:r>
      <w:r w:rsidR="008C35F5">
        <w:rPr>
          <w:lang w:eastAsia="lt-LT"/>
        </w:rPr>
        <w:t xml:space="preserve"> </w:t>
      </w:r>
      <w:r>
        <w:rPr>
          <w:lang w:eastAsia="lt-LT"/>
        </w:rPr>
        <w:t xml:space="preserve">953,71 Eur). Įstaigai skirtomis lėšomis </w:t>
      </w:r>
      <w:r>
        <w:rPr>
          <w:rStyle w:val="Numatytasispastraiposriftas1"/>
        </w:rPr>
        <w:t xml:space="preserve">atnaujintos vidaus erdvės: atlikti </w:t>
      </w:r>
      <w:r>
        <w:rPr>
          <w:lang w:eastAsia="lt-LT"/>
        </w:rPr>
        <w:t>radiatoriaus keitimo darbai (484,00 Eur), suremontuota ir įrengta patyriminio ugdymo(si) erdvė ir dailės kambarys (6</w:t>
      </w:r>
      <w:r w:rsidR="008C35F5">
        <w:rPr>
          <w:lang w:eastAsia="lt-LT"/>
        </w:rPr>
        <w:t xml:space="preserve"> </w:t>
      </w:r>
      <w:r>
        <w:rPr>
          <w:lang w:eastAsia="lt-LT"/>
        </w:rPr>
        <w:t>271,75 Eur), sumontuotos interaktyvios grindys (3</w:t>
      </w:r>
      <w:r w:rsidR="008C35F5">
        <w:rPr>
          <w:lang w:eastAsia="lt-LT"/>
        </w:rPr>
        <w:t xml:space="preserve"> </w:t>
      </w:r>
      <w:r>
        <w:rPr>
          <w:lang w:eastAsia="lt-LT"/>
        </w:rPr>
        <w:t xml:space="preserve">350,00 Eur), 1 grupės patalpose įrengtas kondicionierius </w:t>
      </w:r>
      <w:r>
        <w:rPr>
          <w:lang w:eastAsia="lt-LT"/>
        </w:rPr>
        <w:lastRenderedPageBreak/>
        <w:t>(1200,00 Eur), pakabinti langų roletai (11 vnt. 750,01 Eur). Atnaujintas patalynės inventorius (1217,11 Eur).</w:t>
      </w:r>
      <w:r w:rsidRPr="008C35F5">
        <w:rPr>
          <w:color w:val="FF0000"/>
          <w:lang w:eastAsia="lt-LT"/>
        </w:rPr>
        <w:t xml:space="preserve"> </w:t>
      </w:r>
      <w:r>
        <w:rPr>
          <w:lang w:eastAsia="lt-LT"/>
        </w:rPr>
        <w:t>Pasiruošiant naujiems mokslo metams, atnaujinti baldai (4 vnt. 1</w:t>
      </w:r>
      <w:r w:rsidR="008C35F5">
        <w:rPr>
          <w:lang w:eastAsia="lt-LT"/>
        </w:rPr>
        <w:t xml:space="preserve"> </w:t>
      </w:r>
      <w:r>
        <w:rPr>
          <w:lang w:eastAsia="lt-LT"/>
        </w:rPr>
        <w:t>550,00 Eur), įsigyta ugdymo priemonių</w:t>
      </w:r>
      <w:r w:rsidR="008C35F5">
        <w:rPr>
          <w:lang w:eastAsia="lt-LT"/>
        </w:rPr>
        <w:t xml:space="preserve">: </w:t>
      </w:r>
      <w:r>
        <w:rPr>
          <w:lang w:eastAsia="lt-LT"/>
        </w:rPr>
        <w:t>žaislų, sportinio inventoriaus ir kitų ugdymo priemonių (30 vnt., 1310,78 Eur), įsigyta knygų (5 vnt., 49,65 Eur). Atnaujinant technines priemones</w:t>
      </w:r>
      <w:r w:rsidR="008C35F5">
        <w:rPr>
          <w:lang w:eastAsia="lt-LT"/>
        </w:rPr>
        <w:t>,</w:t>
      </w:r>
      <w:r>
        <w:rPr>
          <w:lang w:eastAsia="lt-LT"/>
        </w:rPr>
        <w:t xml:space="preserve"> nupirkti kompiuteriai (3 vnt., 2000,00 Eur), planšetinis kompiuteris (1 vnt. 419,88 Eur), įsigytas 1 mobilusis telefonas grupei (290,81 Eur). Įstaigai buvo skirta d</w:t>
      </w:r>
      <w:r w:rsidRPr="008C35F5">
        <w:rPr>
          <w:color w:val="222222"/>
          <w:shd w:val="clear" w:color="auto" w:fill="FFFFFF"/>
        </w:rPr>
        <w:t>otacija vaikų, atvykusių dėl karinių veiksmų Ukrainoje, ugdymui ir pavėžėjimui</w:t>
      </w:r>
      <w:r w:rsidR="008C35F5">
        <w:rPr>
          <w:color w:val="222222"/>
          <w:shd w:val="clear" w:color="auto" w:fill="FFFFFF"/>
        </w:rPr>
        <w:t>,</w:t>
      </w:r>
      <w:r w:rsidRPr="008C35F5">
        <w:rPr>
          <w:color w:val="222222"/>
          <w:shd w:val="clear" w:color="auto" w:fill="FFFFFF"/>
        </w:rPr>
        <w:t xml:space="preserve"> iš kurių</w:t>
      </w:r>
      <w:r>
        <w:rPr>
          <w:lang w:eastAsia="lt-LT"/>
        </w:rPr>
        <w:t xml:space="preserve"> įsigytos priemonės ugdymui: 1 projektorius (313,49 Eur), 3 kompiuteriai (1</w:t>
      </w:r>
      <w:r w:rsidR="008C35F5">
        <w:rPr>
          <w:lang w:eastAsia="lt-LT"/>
        </w:rPr>
        <w:t xml:space="preserve"> </w:t>
      </w:r>
      <w:r>
        <w:rPr>
          <w:lang w:eastAsia="lt-LT"/>
        </w:rPr>
        <w:t>496,28 Eur) bei 2 planšetiniai kompiuteriai (679,88 Eur).</w:t>
      </w:r>
    </w:p>
    <w:p w:rsidR="00E027B1" w:rsidRDefault="00E027B1" w:rsidP="00E027B1">
      <w:pPr>
        <w:spacing w:line="254" w:lineRule="auto"/>
        <w:ind w:firstLine="709"/>
        <w:jc w:val="both"/>
        <w:rPr>
          <w:rFonts w:eastAsia="Calibri"/>
          <w:b/>
        </w:rPr>
      </w:pPr>
      <w:r>
        <w:rPr>
          <w:rFonts w:eastAsia="Calibri"/>
        </w:rPr>
        <w:t>Įstaigos finansinė situacija buvo tokia:</w:t>
      </w:r>
    </w:p>
    <w:tbl>
      <w:tblPr>
        <w:tblStyle w:val="Lentelstinklelis"/>
        <w:tblW w:w="0" w:type="auto"/>
        <w:tblInd w:w="108" w:type="dxa"/>
        <w:tblLook w:val="04A0" w:firstRow="1" w:lastRow="0" w:firstColumn="1" w:lastColumn="0" w:noHBand="0" w:noVBand="1"/>
      </w:tblPr>
      <w:tblGrid>
        <w:gridCol w:w="2369"/>
        <w:gridCol w:w="1494"/>
        <w:gridCol w:w="1438"/>
        <w:gridCol w:w="1283"/>
        <w:gridCol w:w="3055"/>
      </w:tblGrid>
      <w:tr w:rsidR="00E027B1" w:rsidTr="008C35F5">
        <w:tc>
          <w:tcPr>
            <w:tcW w:w="2369" w:type="dxa"/>
            <w:vMerge w:val="restart"/>
            <w:tcBorders>
              <w:top w:val="single" w:sz="4" w:space="0" w:color="auto"/>
              <w:left w:val="single" w:sz="4" w:space="0" w:color="auto"/>
              <w:bottom w:val="single" w:sz="4" w:space="0" w:color="auto"/>
              <w:right w:val="single" w:sz="4" w:space="0" w:color="auto"/>
            </w:tcBorders>
            <w:hideMark/>
          </w:tcPr>
          <w:p w:rsidR="00E027B1" w:rsidRDefault="00E027B1" w:rsidP="002160AF">
            <w:pPr>
              <w:jc w:val="center"/>
            </w:pPr>
            <w: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E027B1" w:rsidRDefault="00E027B1" w:rsidP="002160AF">
            <w:pPr>
              <w:jc w:val="center"/>
            </w:pPr>
            <w:r>
              <w:t>Lėšos (tūkst. eurų)</w:t>
            </w:r>
          </w:p>
        </w:tc>
        <w:tc>
          <w:tcPr>
            <w:tcW w:w="3055" w:type="dxa"/>
            <w:vMerge w:val="restart"/>
            <w:tcBorders>
              <w:top w:val="single" w:sz="4" w:space="0" w:color="auto"/>
              <w:left w:val="single" w:sz="4" w:space="0" w:color="auto"/>
              <w:bottom w:val="single" w:sz="4" w:space="0" w:color="auto"/>
              <w:right w:val="single" w:sz="4" w:space="0" w:color="auto"/>
            </w:tcBorders>
          </w:tcPr>
          <w:p w:rsidR="00E027B1" w:rsidRDefault="00E027B1" w:rsidP="002160AF">
            <w:pPr>
              <w:jc w:val="both"/>
            </w:pPr>
            <w:r>
              <w:t>Pastabos</w:t>
            </w:r>
          </w:p>
          <w:p w:rsidR="00E027B1" w:rsidRDefault="00E027B1" w:rsidP="002160AF">
            <w:pPr>
              <w:jc w:val="center"/>
            </w:pPr>
          </w:p>
        </w:tc>
      </w:tr>
      <w:tr w:rsidR="00E027B1" w:rsidTr="008C35F5">
        <w:tc>
          <w:tcPr>
            <w:tcW w:w="2369" w:type="dxa"/>
            <w:vMerge/>
            <w:tcBorders>
              <w:top w:val="single" w:sz="4" w:space="0" w:color="auto"/>
              <w:left w:val="single" w:sz="4" w:space="0" w:color="auto"/>
              <w:bottom w:val="single" w:sz="4" w:space="0" w:color="auto"/>
              <w:right w:val="single" w:sz="4" w:space="0" w:color="auto"/>
            </w:tcBorders>
            <w:vAlign w:val="center"/>
            <w:hideMark/>
          </w:tcPr>
          <w:p w:rsidR="00E027B1" w:rsidRDefault="00E027B1" w:rsidP="002160AF"/>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r>
              <w:t>Įvykdymas (%)</w:t>
            </w:r>
          </w:p>
        </w:tc>
        <w:tc>
          <w:tcPr>
            <w:tcW w:w="3055" w:type="dxa"/>
            <w:vMerge/>
            <w:tcBorders>
              <w:top w:val="single" w:sz="4" w:space="0" w:color="auto"/>
              <w:left w:val="single" w:sz="4" w:space="0" w:color="auto"/>
              <w:bottom w:val="single" w:sz="4" w:space="0" w:color="auto"/>
              <w:right w:val="single" w:sz="4" w:space="0" w:color="auto"/>
            </w:tcBorders>
            <w:vAlign w:val="center"/>
            <w:hideMark/>
          </w:tcPr>
          <w:p w:rsidR="00E027B1" w:rsidRDefault="00E027B1" w:rsidP="002160AF"/>
        </w:tc>
      </w:tr>
      <w:tr w:rsidR="00E027B1" w:rsidTr="008C35F5">
        <w:trPr>
          <w:trHeight w:val="415"/>
        </w:trPr>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498,0</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491,7</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r>
              <w:t>98,73 %</w:t>
            </w:r>
          </w:p>
        </w:tc>
        <w:tc>
          <w:tcPr>
            <w:tcW w:w="3055" w:type="dxa"/>
            <w:tcBorders>
              <w:top w:val="single" w:sz="4" w:space="0" w:color="auto"/>
              <w:left w:val="single" w:sz="4" w:space="0" w:color="auto"/>
              <w:bottom w:val="single" w:sz="4" w:space="0" w:color="auto"/>
              <w:right w:val="single" w:sz="4" w:space="0" w:color="auto"/>
            </w:tcBorders>
            <w:hideMark/>
          </w:tcPr>
          <w:p w:rsidR="00E027B1" w:rsidRDefault="00E027B1" w:rsidP="002160AF">
            <w:r>
              <w:t>Nepanaudotos skirtos lėšos išeitinėms išmokoms</w:t>
            </w:r>
          </w:p>
        </w:tc>
      </w:tr>
      <w:tr w:rsidR="00E027B1" w:rsidTr="008C35F5">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352,8</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352,8</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r>
              <w:t>100 %</w:t>
            </w:r>
          </w:p>
        </w:tc>
        <w:tc>
          <w:tcPr>
            <w:tcW w:w="3055" w:type="dxa"/>
            <w:tcBorders>
              <w:top w:val="single" w:sz="4" w:space="0" w:color="auto"/>
              <w:left w:val="single" w:sz="4" w:space="0" w:color="auto"/>
              <w:bottom w:val="single" w:sz="4" w:space="0" w:color="auto"/>
              <w:right w:val="single" w:sz="4" w:space="0" w:color="auto"/>
            </w:tcBorders>
          </w:tcPr>
          <w:p w:rsidR="00E027B1" w:rsidRDefault="00E027B1" w:rsidP="002160AF"/>
        </w:tc>
      </w:tr>
      <w:tr w:rsidR="00E027B1" w:rsidTr="008C35F5">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E027B1" w:rsidRDefault="00E027B1" w:rsidP="002160AF"/>
        </w:tc>
        <w:tc>
          <w:tcPr>
            <w:tcW w:w="1438" w:type="dxa"/>
            <w:tcBorders>
              <w:top w:val="single" w:sz="4" w:space="0" w:color="auto"/>
              <w:left w:val="single" w:sz="4" w:space="0" w:color="auto"/>
              <w:bottom w:val="single" w:sz="4" w:space="0" w:color="auto"/>
              <w:right w:val="single" w:sz="4" w:space="0" w:color="auto"/>
            </w:tcBorders>
          </w:tcPr>
          <w:p w:rsidR="00E027B1" w:rsidRDefault="00E027B1" w:rsidP="002160AF"/>
        </w:tc>
        <w:tc>
          <w:tcPr>
            <w:tcW w:w="1283" w:type="dxa"/>
            <w:tcBorders>
              <w:top w:val="single" w:sz="4" w:space="0" w:color="auto"/>
              <w:left w:val="single" w:sz="4" w:space="0" w:color="auto"/>
              <w:bottom w:val="single" w:sz="4" w:space="0" w:color="auto"/>
              <w:right w:val="single" w:sz="4" w:space="0" w:color="auto"/>
            </w:tcBorders>
          </w:tcPr>
          <w:p w:rsidR="00E027B1" w:rsidRDefault="00E027B1" w:rsidP="002160AF"/>
        </w:tc>
        <w:tc>
          <w:tcPr>
            <w:tcW w:w="3055" w:type="dxa"/>
            <w:tcBorders>
              <w:top w:val="single" w:sz="4" w:space="0" w:color="auto"/>
              <w:left w:val="single" w:sz="4" w:space="0" w:color="auto"/>
              <w:bottom w:val="single" w:sz="4" w:space="0" w:color="auto"/>
              <w:right w:val="single" w:sz="4" w:space="0" w:color="auto"/>
            </w:tcBorders>
          </w:tcPr>
          <w:p w:rsidR="00E027B1" w:rsidRDefault="00E027B1" w:rsidP="002160AF"/>
        </w:tc>
      </w:tr>
      <w:tr w:rsidR="00E027B1" w:rsidTr="008C35F5">
        <w:trPr>
          <w:trHeight w:val="477"/>
        </w:trPr>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97,5</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79,2</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pPr>
              <w:rPr>
                <w:lang w:val="en-US"/>
              </w:rPr>
            </w:pPr>
            <w:r>
              <w:t xml:space="preserve">81,23 </w:t>
            </w:r>
            <w:r>
              <w:rPr>
                <w:lang w:val="en-US"/>
              </w:rPr>
              <w:t>%</w:t>
            </w:r>
          </w:p>
        </w:tc>
        <w:tc>
          <w:tcPr>
            <w:tcW w:w="3055" w:type="dxa"/>
            <w:tcBorders>
              <w:top w:val="single" w:sz="4" w:space="0" w:color="auto"/>
              <w:left w:val="single" w:sz="4" w:space="0" w:color="auto"/>
              <w:bottom w:val="single" w:sz="4" w:space="0" w:color="auto"/>
              <w:right w:val="single" w:sz="4" w:space="0" w:color="auto"/>
            </w:tcBorders>
          </w:tcPr>
          <w:p w:rsidR="00E027B1" w:rsidRDefault="00E027B1" w:rsidP="002160AF"/>
        </w:tc>
      </w:tr>
      <w:tr w:rsidR="00E027B1" w:rsidTr="008C35F5">
        <w:trPr>
          <w:trHeight w:val="125"/>
        </w:trPr>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Projektų finansavimas (ES;VB;SB)</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3,2</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3,2</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pPr>
              <w:rPr>
                <w:lang w:val="en-US"/>
              </w:rPr>
            </w:pPr>
            <w:r>
              <w:t xml:space="preserve">100 </w:t>
            </w:r>
            <w:r>
              <w:rPr>
                <w:lang w:val="en-US"/>
              </w:rPr>
              <w:t>%</w:t>
            </w:r>
          </w:p>
        </w:tc>
        <w:tc>
          <w:tcPr>
            <w:tcW w:w="3055" w:type="dxa"/>
            <w:tcBorders>
              <w:top w:val="single" w:sz="4" w:space="0" w:color="auto"/>
              <w:left w:val="single" w:sz="4" w:space="0" w:color="auto"/>
              <w:bottom w:val="single" w:sz="4" w:space="0" w:color="auto"/>
              <w:right w:val="single" w:sz="4" w:space="0" w:color="auto"/>
            </w:tcBorders>
            <w:hideMark/>
          </w:tcPr>
          <w:p w:rsidR="00E027B1" w:rsidRDefault="00E027B1" w:rsidP="002160AF">
            <w:pPr>
              <w:jc w:val="both"/>
            </w:pPr>
            <w:r>
              <w:t>Kompiuteriai</w:t>
            </w:r>
            <w:r w:rsidR="008C35F5">
              <w:t>,</w:t>
            </w:r>
            <w:r>
              <w:t xml:space="preserve"> ir kondicionierius</w:t>
            </w:r>
          </w:p>
        </w:tc>
      </w:tr>
      <w:tr w:rsidR="00E027B1" w:rsidTr="008C35F5">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Kitos lėšos (parama 1,2 % GPM ir kt.)</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3,0</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1,9</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pPr>
              <w:rPr>
                <w:lang w:val="en-US"/>
              </w:rPr>
            </w:pPr>
            <w:r>
              <w:t xml:space="preserve">63,33 </w:t>
            </w:r>
            <w:r>
              <w:rPr>
                <w:lang w:val="en-US"/>
              </w:rPr>
              <w:t>%</w:t>
            </w:r>
          </w:p>
        </w:tc>
        <w:tc>
          <w:tcPr>
            <w:tcW w:w="3055" w:type="dxa"/>
            <w:tcBorders>
              <w:top w:val="single" w:sz="4" w:space="0" w:color="auto"/>
              <w:left w:val="single" w:sz="4" w:space="0" w:color="auto"/>
              <w:bottom w:val="single" w:sz="4" w:space="0" w:color="auto"/>
              <w:right w:val="single" w:sz="4" w:space="0" w:color="auto"/>
            </w:tcBorders>
          </w:tcPr>
          <w:p w:rsidR="00E027B1" w:rsidRDefault="008C35F5" w:rsidP="002160AF">
            <w:r>
              <w:t>Šios lėšos kaupiamos, jų nereikia panaudoti einamaisiais metais</w:t>
            </w:r>
          </w:p>
        </w:tc>
      </w:tr>
      <w:tr w:rsidR="00E027B1" w:rsidTr="008C35F5">
        <w:trPr>
          <w:trHeight w:val="430"/>
        </w:trPr>
        <w:tc>
          <w:tcPr>
            <w:tcW w:w="2369" w:type="dxa"/>
            <w:tcBorders>
              <w:top w:val="single" w:sz="4" w:space="0" w:color="auto"/>
              <w:left w:val="single" w:sz="4" w:space="0" w:color="auto"/>
              <w:bottom w:val="single" w:sz="4" w:space="0" w:color="auto"/>
              <w:right w:val="single" w:sz="4" w:space="0" w:color="auto"/>
            </w:tcBorders>
            <w:hideMark/>
          </w:tcPr>
          <w:p w:rsidR="00E027B1" w:rsidRDefault="00E027B1" w:rsidP="002160AF">
            <w:r>
              <w:t>Iš viso</w:t>
            </w:r>
          </w:p>
        </w:tc>
        <w:tc>
          <w:tcPr>
            <w:tcW w:w="1494" w:type="dxa"/>
            <w:tcBorders>
              <w:top w:val="single" w:sz="4" w:space="0" w:color="auto"/>
              <w:left w:val="single" w:sz="4" w:space="0" w:color="auto"/>
              <w:bottom w:val="single" w:sz="4" w:space="0" w:color="auto"/>
              <w:right w:val="single" w:sz="4" w:space="0" w:color="auto"/>
            </w:tcBorders>
            <w:hideMark/>
          </w:tcPr>
          <w:p w:rsidR="00E027B1" w:rsidRDefault="00E027B1" w:rsidP="002160AF">
            <w:r>
              <w:t>954,50</w:t>
            </w:r>
          </w:p>
        </w:tc>
        <w:tc>
          <w:tcPr>
            <w:tcW w:w="1438" w:type="dxa"/>
            <w:tcBorders>
              <w:top w:val="single" w:sz="4" w:space="0" w:color="auto"/>
              <w:left w:val="single" w:sz="4" w:space="0" w:color="auto"/>
              <w:bottom w:val="single" w:sz="4" w:space="0" w:color="auto"/>
              <w:right w:val="single" w:sz="4" w:space="0" w:color="auto"/>
            </w:tcBorders>
            <w:hideMark/>
          </w:tcPr>
          <w:p w:rsidR="00E027B1" w:rsidRDefault="00E027B1" w:rsidP="002160AF">
            <w:r>
              <w:t>928,8</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E027B1" w:rsidP="002160AF">
            <w:pPr>
              <w:rPr>
                <w:lang w:val="ru-RU"/>
              </w:rPr>
            </w:pPr>
            <w:r>
              <w:t>97</w:t>
            </w:r>
            <w:r>
              <w:rPr>
                <w:lang w:val="ru-RU"/>
              </w:rPr>
              <w:t>,</w:t>
            </w:r>
            <w:r>
              <w:t>31</w:t>
            </w:r>
            <w:r>
              <w:rPr>
                <w:lang w:val="ru-RU"/>
              </w:rPr>
              <w:t xml:space="preserve"> %</w:t>
            </w:r>
          </w:p>
        </w:tc>
        <w:tc>
          <w:tcPr>
            <w:tcW w:w="3055" w:type="dxa"/>
            <w:tcBorders>
              <w:top w:val="single" w:sz="4" w:space="0" w:color="auto"/>
              <w:left w:val="single" w:sz="4" w:space="0" w:color="auto"/>
              <w:bottom w:val="single" w:sz="4" w:space="0" w:color="auto"/>
              <w:right w:val="single" w:sz="4" w:space="0" w:color="auto"/>
            </w:tcBorders>
          </w:tcPr>
          <w:p w:rsidR="00E027B1" w:rsidRDefault="00E027B1" w:rsidP="002160AF"/>
        </w:tc>
      </w:tr>
      <w:tr w:rsidR="00E027B1" w:rsidTr="008C35F5">
        <w:tc>
          <w:tcPr>
            <w:tcW w:w="5301" w:type="dxa"/>
            <w:gridSpan w:val="3"/>
            <w:tcBorders>
              <w:top w:val="single" w:sz="4" w:space="0" w:color="auto"/>
              <w:left w:val="single" w:sz="4" w:space="0" w:color="auto"/>
              <w:bottom w:val="single" w:sz="4" w:space="0" w:color="auto"/>
              <w:right w:val="single" w:sz="4" w:space="0" w:color="auto"/>
            </w:tcBorders>
            <w:hideMark/>
          </w:tcPr>
          <w:p w:rsidR="00E027B1" w:rsidRDefault="00E027B1" w:rsidP="002160AF">
            <w:r>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hideMark/>
          </w:tcPr>
          <w:p w:rsidR="00E027B1" w:rsidRDefault="00176009" w:rsidP="00176009">
            <w:pPr>
              <w:jc w:val="center"/>
            </w:pPr>
            <w:r>
              <w:t>–</w:t>
            </w:r>
          </w:p>
        </w:tc>
        <w:tc>
          <w:tcPr>
            <w:tcW w:w="3055" w:type="dxa"/>
            <w:tcBorders>
              <w:top w:val="single" w:sz="4" w:space="0" w:color="auto"/>
              <w:left w:val="single" w:sz="4" w:space="0" w:color="auto"/>
              <w:bottom w:val="single" w:sz="4" w:space="0" w:color="auto"/>
              <w:right w:val="single" w:sz="4" w:space="0" w:color="auto"/>
            </w:tcBorders>
          </w:tcPr>
          <w:p w:rsidR="00E027B1" w:rsidRDefault="00E027B1" w:rsidP="002160AF"/>
        </w:tc>
      </w:tr>
    </w:tbl>
    <w:p w:rsidR="00E027B1" w:rsidRDefault="00E027B1" w:rsidP="00176009">
      <w:pPr>
        <w:tabs>
          <w:tab w:val="left" w:pos="284"/>
          <w:tab w:val="left" w:pos="426"/>
        </w:tabs>
        <w:spacing w:line="254" w:lineRule="auto"/>
        <w:ind w:firstLine="567"/>
        <w:jc w:val="both"/>
      </w:pPr>
      <w:bookmarkStart w:id="3" w:name="_Hlk123807224"/>
      <w:r w:rsidRPr="00203BCC">
        <w:t>Įstaigoje buvo vykdyti patikrinimai</w:t>
      </w:r>
      <w:r w:rsidR="00176009">
        <w:t>:</w:t>
      </w:r>
      <w:r w:rsidRPr="00203BCC">
        <w:t xml:space="preserve"> </w:t>
      </w:r>
      <w:r w:rsidR="00176009">
        <w:t xml:space="preserve">1) </w:t>
      </w:r>
      <w:r w:rsidRPr="00203BCC">
        <w:t>Valstybinės maisto ir veterinarinės tarnybos Klaipėdos departamento maisto saugos, kokybės ir higienos kontrolė</w:t>
      </w:r>
      <w:r w:rsidRPr="00203BCC">
        <w:rPr>
          <w:shd w:val="clear" w:color="auto" w:fill="FFFFFF"/>
        </w:rPr>
        <w:t xml:space="preserve"> (patikrinimo aktas Nr. 37VMĮP-1820). Patikrinimo metu </w:t>
      </w:r>
      <w:r w:rsidR="00176009">
        <w:rPr>
          <w:shd w:val="clear" w:color="auto" w:fill="FFFFFF"/>
        </w:rPr>
        <w:t xml:space="preserve">pateiktos </w:t>
      </w:r>
      <w:r w:rsidRPr="00203BCC">
        <w:rPr>
          <w:shd w:val="clear" w:color="auto" w:fill="FFFFFF"/>
        </w:rPr>
        <w:t xml:space="preserve">bendros </w:t>
      </w:r>
      <w:r w:rsidR="00176009">
        <w:rPr>
          <w:shd w:val="clear" w:color="auto" w:fill="FFFFFF"/>
        </w:rPr>
        <w:t xml:space="preserve">pastabos dėl </w:t>
      </w:r>
      <w:r w:rsidRPr="00203BCC">
        <w:rPr>
          <w:shd w:val="clear" w:color="auto" w:fill="FFFFFF"/>
        </w:rPr>
        <w:t>higienos ir įrangos</w:t>
      </w:r>
      <w:r w:rsidR="00176009">
        <w:rPr>
          <w:shd w:val="clear" w:color="auto" w:fill="FFFFFF"/>
        </w:rPr>
        <w:t xml:space="preserve">. Į </w:t>
      </w:r>
      <w:r w:rsidR="00176009">
        <w:t>v</w:t>
      </w:r>
      <w:r w:rsidRPr="00203BCC">
        <w:t>is</w:t>
      </w:r>
      <w:r w:rsidR="00176009">
        <w:t>a</w:t>
      </w:r>
      <w:r w:rsidRPr="00203BCC">
        <w:t>s pateikt</w:t>
      </w:r>
      <w:r w:rsidR="00176009">
        <w:t>a</w:t>
      </w:r>
      <w:r w:rsidRPr="00203BCC">
        <w:t xml:space="preserve">s </w:t>
      </w:r>
      <w:r>
        <w:t>pastab</w:t>
      </w:r>
      <w:r w:rsidR="00176009">
        <w:t>a</w:t>
      </w:r>
      <w:r>
        <w:t>s</w:t>
      </w:r>
      <w:r w:rsidRPr="00203BCC">
        <w:t xml:space="preserve"> </w:t>
      </w:r>
      <w:r w:rsidR="00176009">
        <w:t xml:space="preserve">atsižvelgta; </w:t>
      </w:r>
      <w:r>
        <w:t xml:space="preserve">Nacionalinio visuomenės sveikatos centro prie Sveikatos apsaugos ministerijos patikrinimas (patikrinimo aktas Nr. 3-12 15.3.2 Mr). </w:t>
      </w:r>
      <w:r w:rsidR="00176009">
        <w:t>P</w:t>
      </w:r>
      <w:r>
        <w:t xml:space="preserve">ažeidimų nenustatyta. </w:t>
      </w:r>
    </w:p>
    <w:p w:rsidR="00E027B1" w:rsidRDefault="00E027B1" w:rsidP="00E027B1">
      <w:pPr>
        <w:tabs>
          <w:tab w:val="left" w:pos="284"/>
          <w:tab w:val="left" w:pos="426"/>
        </w:tabs>
        <w:spacing w:line="254" w:lineRule="auto"/>
        <w:ind w:firstLine="567"/>
        <w:jc w:val="both"/>
        <w:rPr>
          <w:lang w:eastAsia="lt-LT"/>
        </w:rPr>
      </w:pPr>
      <w:r>
        <w:rPr>
          <w:lang w:eastAsia="lt-LT"/>
        </w:rPr>
        <w:t>2022 m. Įstaigoje liko neišspręstos tokios vidaus ir išorės faktorių sąlygotos problemos</w:t>
      </w:r>
      <w:r>
        <w:t xml:space="preserve">: prasta evakuacinių laiptų, koridorių ir laiptinių, techninė pastato būklė (sienų įtrūkimai, elektros instaliacija ir kt.), reikalingi grupių ir miegamųjų patalpų atnaujinimo darbai. </w:t>
      </w:r>
      <w:r w:rsidR="00176009">
        <w:t>K</w:t>
      </w:r>
      <w:r>
        <w:t>reiptasi į Klaipėdos miesto savivaldybės administracijos direktorių, atsižvelgiant į statinio priežiūros aktus dėl remonto darbų poreikio: fasado remonto,  evakuacinių laiptų remonto bei vidaus patalpų ir grupių remonto.</w:t>
      </w:r>
      <w:bookmarkEnd w:id="3"/>
    </w:p>
    <w:p w:rsidR="00F555F2" w:rsidRDefault="00E027B1" w:rsidP="00176009">
      <w:pPr>
        <w:ind w:firstLine="567"/>
        <w:jc w:val="both"/>
      </w:pPr>
      <w:r>
        <w:t>Planuodama 2023 metų veiklą, Įstaigos bendruomenė susitarė dėl veiklos prioritetų</w:t>
      </w:r>
      <w:r w:rsidR="00176009">
        <w:t xml:space="preserve">: </w:t>
      </w:r>
      <w:r w:rsidR="00660AA7">
        <w:t xml:space="preserve">1) </w:t>
      </w:r>
      <w:r>
        <w:t>organizuoto fizinio vaikų aktyvumo, kaip sėkmingo ugdymosi veiksnio, skatinimas</w:t>
      </w:r>
      <w:r w:rsidR="00176009">
        <w:t>,</w:t>
      </w:r>
      <w:r>
        <w:t xml:space="preserve"> pasitelkiant inovacijas</w:t>
      </w:r>
      <w:r w:rsidR="00660AA7">
        <w:t xml:space="preserve">; 2) </w:t>
      </w:r>
      <w:r>
        <w:t>veiksmingos švietimo pagalbos teikimas įvairių gebėjimų ugdytiniams.</w:t>
      </w:r>
    </w:p>
    <w:p w:rsidR="00502E4F" w:rsidRDefault="00502E4F" w:rsidP="00664238">
      <w:pPr>
        <w:ind w:firstLine="567"/>
      </w:pPr>
    </w:p>
    <w:p w:rsidR="00F20F18" w:rsidRDefault="00F20F18" w:rsidP="00664238">
      <w:pPr>
        <w:ind w:firstLine="567"/>
      </w:pPr>
    </w:p>
    <w:p w:rsidR="00F20F18" w:rsidRDefault="00F20F18" w:rsidP="00664238">
      <w:pPr>
        <w:ind w:firstLine="567"/>
      </w:pPr>
    </w:p>
    <w:p w:rsidR="00F555F2" w:rsidRDefault="00F555F2" w:rsidP="004C067A">
      <w:r>
        <w:t>Direktorė</w:t>
      </w:r>
      <w:r>
        <w:tab/>
      </w:r>
      <w:r>
        <w:tab/>
      </w:r>
      <w:r>
        <w:tab/>
      </w:r>
      <w:r>
        <w:tab/>
      </w:r>
      <w:r>
        <w:tab/>
        <w:t xml:space="preserve">   </w:t>
      </w:r>
      <w:r w:rsidR="00E027B1">
        <w:t xml:space="preserve">           Viktė Joneikienė</w:t>
      </w:r>
    </w:p>
    <w:p w:rsidR="00F555F2" w:rsidRDefault="00F555F2"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0256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B69E1"/>
    <w:multiLevelType w:val="hybridMultilevel"/>
    <w:tmpl w:val="F6A6CB9C"/>
    <w:lvl w:ilvl="0" w:tplc="575E07F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670B"/>
    <w:rsid w:val="0006079E"/>
    <w:rsid w:val="00176009"/>
    <w:rsid w:val="0019615E"/>
    <w:rsid w:val="0034183E"/>
    <w:rsid w:val="004476DD"/>
    <w:rsid w:val="004C067A"/>
    <w:rsid w:val="00502E4F"/>
    <w:rsid w:val="005708E0"/>
    <w:rsid w:val="00597EE8"/>
    <w:rsid w:val="005B434A"/>
    <w:rsid w:val="005F495C"/>
    <w:rsid w:val="00616F5A"/>
    <w:rsid w:val="00651DD9"/>
    <w:rsid w:val="00660AA7"/>
    <w:rsid w:val="00664238"/>
    <w:rsid w:val="00677042"/>
    <w:rsid w:val="007A24A6"/>
    <w:rsid w:val="007B1666"/>
    <w:rsid w:val="00802566"/>
    <w:rsid w:val="00832CC9"/>
    <w:rsid w:val="008354D5"/>
    <w:rsid w:val="00865C91"/>
    <w:rsid w:val="008C35F5"/>
    <w:rsid w:val="008E6E82"/>
    <w:rsid w:val="00A339BB"/>
    <w:rsid w:val="00AF7D08"/>
    <w:rsid w:val="00B750B6"/>
    <w:rsid w:val="00C57681"/>
    <w:rsid w:val="00CA4D3B"/>
    <w:rsid w:val="00D14075"/>
    <w:rsid w:val="00D42B72"/>
    <w:rsid w:val="00D57F27"/>
    <w:rsid w:val="00DD319C"/>
    <w:rsid w:val="00DD75D8"/>
    <w:rsid w:val="00E027B1"/>
    <w:rsid w:val="00E33871"/>
    <w:rsid w:val="00E56A73"/>
    <w:rsid w:val="00E8619A"/>
    <w:rsid w:val="00EB671F"/>
    <w:rsid w:val="00EF03C0"/>
    <w:rsid w:val="00F1275A"/>
    <w:rsid w:val="00F20F18"/>
    <w:rsid w:val="00F555F2"/>
    <w:rsid w:val="00F72A1E"/>
    <w:rsid w:val="00FC4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C44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08E0"/>
    <w:pPr>
      <w:ind w:left="720"/>
      <w:contextualSpacing/>
    </w:pPr>
  </w:style>
  <w:style w:type="character" w:customStyle="1" w:styleId="Numatytasispastraiposriftas1">
    <w:name w:val="Numatytasis pastraipos šriftas1"/>
    <w:rsid w:val="00E027B1"/>
  </w:style>
  <w:style w:type="character" w:customStyle="1" w:styleId="fontstyle01">
    <w:name w:val="fontstyle01"/>
    <w:rsid w:val="00E027B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6883</Words>
  <Characters>3924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2023-05-02T11:09:00Z</dcterms:created>
  <dcterms:modified xsi:type="dcterms:W3CDTF">2023-05-04T05:56:00Z</dcterms:modified>
</cp:coreProperties>
</file>